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28"/>
          <w:szCs w:val="28"/>
        </w:rPr>
      </w:pPr>
    </w:p>
    <w:tbl>
      <w:tblPr>
        <w:tblStyle w:val="7"/>
        <w:tblW w:w="0" w:type="auto"/>
        <w:tblInd w:w="118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11"/>
        <w:gridCol w:w="6193"/>
      </w:tblGrid>
      <w:tr>
        <w:tc>
          <w:tcPr>
            <w:tcW w:w="2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学科、专业名称</w:t>
            </w:r>
          </w:p>
        </w:tc>
        <w:tc>
          <w:tcPr>
            <w:tcW w:w="70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rFonts w:hint="default" w:ascii="宋体" w:hAnsi="宋体"/>
                <w:sz w:val="24"/>
                <w:szCs w:val="24"/>
                <w:lang w:eastAsia="zh-Hans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Hans"/>
              </w:rPr>
              <w:t>学科教学</w:t>
            </w:r>
            <w:r>
              <w:rPr>
                <w:rFonts w:hint="default" w:ascii="宋体" w:hAnsi="宋体"/>
                <w:sz w:val="24"/>
                <w:szCs w:val="24"/>
                <w:lang w:eastAsia="zh-Hans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Hans"/>
              </w:rPr>
              <w:t>地理</w:t>
            </w:r>
            <w:r>
              <w:rPr>
                <w:rFonts w:hint="default" w:ascii="宋体" w:hAnsi="宋体"/>
                <w:sz w:val="24"/>
                <w:szCs w:val="24"/>
                <w:lang w:eastAsia="zh-Hans"/>
              </w:rPr>
              <w:t>）</w:t>
            </w:r>
          </w:p>
        </w:tc>
      </w:tr>
      <w:tr>
        <w:tc>
          <w:tcPr>
            <w:tcW w:w="948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学科、专业简介（导师、研究方向及其特色、学术地位、研究成果、在研项目、课程设置、就业去向等方面）：</w:t>
            </w:r>
          </w:p>
          <w:p>
            <w:pPr>
              <w:pStyle w:val="15"/>
              <w:widowControl/>
              <w:spacing w:line="360" w:lineRule="auto"/>
              <w:ind w:left="420" w:firstLine="0" w:firstLineChars="0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 </w:t>
            </w:r>
            <w:r>
              <w:rPr>
                <w:rFonts w:hint="eastAsia"/>
                <w:b/>
                <w:bCs/>
                <w:sz w:val="24"/>
                <w:szCs w:val="28"/>
              </w:rPr>
              <w:t>一、</w:t>
            </w:r>
            <w:r>
              <w:rPr>
                <w:rFonts w:hint="eastAsia"/>
                <w:b/>
                <w:bCs/>
                <w:sz w:val="24"/>
                <w:szCs w:val="28"/>
                <w:lang w:val="en-US" w:eastAsia="zh-Hans"/>
              </w:rPr>
              <w:t>学位点概况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学科教学</w:t>
            </w:r>
            <w:r>
              <w:rPr>
                <w:rFonts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（地理）</w:t>
            </w:r>
            <w:r>
              <w:rPr>
                <w:rFonts w:hint="eastAsia" w:cs="Times New Roman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位点强调学科基础和学科教学的融合，对接中学基础教育，注重地理学、环境科学、生态学、教育学等多学科交叉融合，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注重专业教学与教育行业需求相结合，注重传统教学技能训练与现代信息技术相结合，注重地理教学、环境教育和科学研究相结合，</w:t>
            </w:r>
            <w:r>
              <w:rPr>
                <w:color w:val="000000"/>
                <w:sz w:val="24"/>
                <w:szCs w:val="24"/>
              </w:rPr>
              <w:t>突出地理实践、地理技能、地理</w:t>
            </w:r>
            <w:r>
              <w:rPr>
                <w:rFonts w:hint="eastAsia"/>
                <w:color w:val="000000"/>
                <w:sz w:val="24"/>
                <w:szCs w:val="24"/>
              </w:rPr>
              <w:t>教研</w:t>
            </w:r>
            <w:r>
              <w:rPr>
                <w:color w:val="000000"/>
                <w:sz w:val="24"/>
                <w:szCs w:val="24"/>
              </w:rPr>
              <w:t>等能力的培养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。</w:t>
            </w:r>
            <w:r>
              <w:rPr>
                <w:rFonts w:hint="eastAsia" w:ascii="宋体" w:hAnsi="宋体"/>
                <w:sz w:val="24"/>
                <w:szCs w:val="24"/>
              </w:rPr>
              <w:t>培养具有</w:t>
            </w:r>
            <w:r>
              <w:rPr>
                <w:rFonts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高尚</w:t>
            </w:r>
            <w:r>
              <w:rPr>
                <w:rFonts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师德和教育情怀</w:t>
            </w:r>
            <w:r>
              <w:rPr>
                <w:rFonts w:hint="eastAsia" w:ascii="宋体" w:hAnsi="宋体"/>
                <w:sz w:val="24"/>
                <w:szCs w:val="24"/>
              </w:rPr>
              <w:t>，</w:t>
            </w:r>
            <w:r>
              <w:rPr>
                <w:rFonts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具备现代教育理念和突出教育教学能力</w:t>
            </w:r>
            <w:r>
              <w:rPr>
                <w:rFonts w:hint="eastAsia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/>
                <w:sz w:val="24"/>
                <w:szCs w:val="24"/>
              </w:rPr>
              <w:t>拥有扎实的地理专业知识和教育理论基础，具有较强的地理教育教学实践</w:t>
            </w:r>
            <w:r>
              <w:rPr>
                <w:rFonts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、研学和教研能力</w:t>
            </w:r>
            <w:r>
              <w:rPr>
                <w:rFonts w:hint="eastAsia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从事</w:t>
            </w:r>
            <w:r>
              <w:rPr>
                <w:rFonts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地理教学、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教研</w:t>
            </w:r>
            <w:r>
              <w:rPr>
                <w:rFonts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及管理</w:t>
            </w:r>
            <w:r>
              <w:rPr>
                <w:rFonts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的优秀地理教育人才。</w:t>
            </w:r>
          </w:p>
          <w:p>
            <w:pPr>
              <w:spacing w:line="360" w:lineRule="auto"/>
              <w:ind w:firstLine="480" w:firstLineChars="200"/>
              <w:rPr>
                <w:rFonts w:hint="eastAsia" w:eastAsia="宋体"/>
                <w:b/>
                <w:bCs/>
                <w:sz w:val="24"/>
                <w:szCs w:val="28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8"/>
                <w:lang w:val="en-US" w:eastAsia="zh-Hans"/>
              </w:rPr>
              <w:t>二</w:t>
            </w:r>
            <w:r>
              <w:rPr>
                <w:rFonts w:hint="eastAsia"/>
                <w:b/>
                <w:bCs/>
                <w:sz w:val="24"/>
                <w:szCs w:val="28"/>
              </w:rPr>
              <w:t>、</w:t>
            </w:r>
            <w:r>
              <w:rPr>
                <w:rFonts w:hint="eastAsia"/>
                <w:b/>
                <w:bCs/>
                <w:sz w:val="24"/>
                <w:szCs w:val="28"/>
                <w:lang w:val="en-US" w:eastAsia="zh-Hans"/>
              </w:rPr>
              <w:t>研究方向</w:t>
            </w:r>
          </w:p>
          <w:p>
            <w:pPr>
              <w:spacing w:line="360" w:lineRule="auto"/>
              <w:ind w:firstLine="480" w:firstLineChars="200"/>
              <w:rPr>
                <w:rFonts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本专业采取联合培养方式，</w:t>
            </w:r>
            <w:r>
              <w:rPr>
                <w:rFonts w:hint="eastAsia" w:cs="Times New Roman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下</w:t>
            </w:r>
            <w:r>
              <w:rPr>
                <w:rFonts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设环境</w:t>
            </w:r>
            <w:r>
              <w:rPr>
                <w:rFonts w:hint="eastAsia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教育</w:t>
            </w:r>
            <w:r>
              <w:rPr>
                <w:rFonts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hint="eastAsia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地理实践</w:t>
            </w:r>
            <w:r>
              <w:rPr>
                <w:rFonts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地理教育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信息技术</w:t>
            </w:r>
            <w:r>
              <w:rPr>
                <w:rFonts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、地理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课程设计与方法</w:t>
            </w:r>
            <w:r>
              <w:rPr>
                <w:rFonts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三个研究方向。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具体如下：</w:t>
            </w:r>
          </w:p>
          <w:p>
            <w:pPr>
              <w:spacing w:line="360" w:lineRule="auto"/>
              <w:ind w:firstLine="480" w:firstLineChars="200"/>
              <w:rPr>
                <w:rFonts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1）</w:t>
            </w:r>
            <w:r>
              <w:rPr>
                <w:rFonts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环境</w:t>
            </w:r>
            <w:r>
              <w:rPr>
                <w:rFonts w:hint="eastAsia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教育</w:t>
            </w:r>
            <w:r>
              <w:rPr>
                <w:rFonts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hint="eastAsia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地理实践</w:t>
            </w:r>
            <w:r>
              <w:rPr>
                <w:rFonts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方向</w:t>
            </w:r>
            <w:r>
              <w:rPr>
                <w:rFonts w:hint="eastAsia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接国家生态文明发展战略，重点开展中学环境与生态教育模式与方法研究，中学环境与生态教育校本课程开发研究，中学环境与生态教育案例设计与教学实践研究、研学课程设计与课程资源开发、研学活动案例设计研究等</w:t>
            </w:r>
            <w:r>
              <w:rPr>
                <w:rFonts w:hint="eastAsia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360" w:lineRule="auto"/>
              <w:ind w:firstLine="480" w:firstLineChars="200"/>
              <w:rPr>
                <w:rFonts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2）</w:t>
            </w:r>
            <w:r>
              <w:rPr>
                <w:rFonts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地理教育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信息技术</w:t>
            </w:r>
            <w:r>
              <w:rPr>
                <w:rFonts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方向</w:t>
            </w:r>
            <w:r>
              <w:rPr>
                <w:rFonts w:hint="eastAsia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主要以互联网、现代多媒体技术、地理信息技术、遥感技术为基础，开展信息化技术支持的地理教育教学模式与方法研究，信息化地理教育教学实施和教育评价研究、地理虚拟仿真教育</w:t>
            </w:r>
            <w:r>
              <w:rPr>
                <w:rFonts w:hint="eastAsia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教学</w:t>
            </w:r>
            <w:r>
              <w:rPr>
                <w:rFonts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研究等</w:t>
            </w:r>
            <w:r>
              <w:rPr>
                <w:rFonts w:hint="eastAsia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360" w:lineRule="auto"/>
              <w:ind w:firstLine="480" w:firstLineChars="200"/>
              <w:rPr>
                <w:rFonts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3）</w:t>
            </w:r>
            <w:r>
              <w:rPr>
                <w:rFonts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地理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课程设计与方法</w:t>
            </w:r>
            <w:r>
              <w:rPr>
                <w:rFonts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方向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对接中学基础教育，重点开展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中学地理课程标准与教材分析研究、中学地理教学设计与教学方法研究、地理教育测量与评价等。</w:t>
            </w:r>
          </w:p>
          <w:p>
            <w:pPr>
              <w:spacing w:line="360" w:lineRule="auto"/>
              <w:ind w:firstLine="480" w:firstLineChars="200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学位点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师主要由高校教师与中学地理教师组成，具有较高的理论水平和丰富的教学实践经验。近年来学位点教师先后主持上海市教委的《土壤地理学》、《地理教学论》等重点课程建设，主持与参与上海市中学地理课程标准研制和上海市高、初中地理教材编制，参与上海市地理学科名师基地建设等项目，参与过上海市地理学科高考、学业水平考试的标准制定和命题工作，出版多部地理教学类著作，发表几十篇学术论著，获多项上海市和全国教学、科研奖项。</w:t>
            </w:r>
          </w:p>
          <w:p>
            <w:pPr>
              <w:spacing w:line="360" w:lineRule="auto"/>
              <w:ind w:firstLine="480" w:firstLineChars="200"/>
              <w:rPr>
                <w:rFonts w:hint="default" w:eastAsia="宋体"/>
                <w:b/>
                <w:bCs/>
                <w:sz w:val="24"/>
                <w:szCs w:val="28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8"/>
                <w:lang w:val="en-US" w:eastAsia="zh-Hans"/>
              </w:rPr>
              <w:t>三</w:t>
            </w:r>
            <w:r>
              <w:rPr>
                <w:rFonts w:hint="eastAsia"/>
                <w:b/>
                <w:bCs/>
                <w:sz w:val="24"/>
                <w:szCs w:val="28"/>
              </w:rPr>
              <w:t>、</w:t>
            </w:r>
            <w:r>
              <w:rPr>
                <w:rFonts w:hint="eastAsia"/>
                <w:b/>
                <w:bCs/>
                <w:sz w:val="24"/>
                <w:szCs w:val="28"/>
                <w:lang w:val="en-US" w:eastAsia="zh-Hans"/>
              </w:rPr>
              <w:t>课程设置</w:t>
            </w:r>
          </w:p>
          <w:p>
            <w:pPr>
              <w:spacing w:line="360" w:lineRule="auto"/>
              <w:ind w:firstLine="480" w:firstLineChars="200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本硕士点课程设置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注重教学过程，创设地理教育科研平台，积极引导学生主动参与实践，提高地理教学能力与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实践能力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。主要课程地理课程与教材分析、地理教学设计与案例分析、地理教育信息技术、地理教育测量与评价、基础教育改革研究、环境与地理教育、人文地理学前沿、中学地理课程改革专题</w:t>
            </w:r>
            <w:r>
              <w:rPr>
                <w:rFonts w:hint="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研学课程设计与案例分析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，以及各类学术讲座、学术沙龙等。</w:t>
            </w:r>
          </w:p>
          <w:p>
            <w:pPr>
              <w:spacing w:line="360" w:lineRule="auto"/>
              <w:ind w:firstLine="601" w:firstLineChars="250"/>
              <w:rPr>
                <w:rFonts w:hint="default" w:ascii="宋体" w:hAnsi="宋体"/>
                <w:b/>
                <w:bCs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Hans"/>
              </w:rPr>
              <w:t>四</w:t>
            </w:r>
            <w:r>
              <w:rPr>
                <w:rFonts w:hint="default" w:ascii="宋体" w:hAnsi="宋体"/>
                <w:b/>
                <w:bCs/>
                <w:sz w:val="24"/>
                <w:szCs w:val="24"/>
                <w:lang w:eastAsia="zh-Hans"/>
              </w:rPr>
              <w:t>、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Hans"/>
              </w:rPr>
              <w:t>就业去向</w:t>
            </w:r>
          </w:p>
          <w:p>
            <w:pPr>
              <w:spacing w:line="360" w:lineRule="auto"/>
              <w:ind w:firstLine="600" w:firstLineChars="250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毕业生主要</w:t>
            </w:r>
            <w:r>
              <w:rPr>
                <w:color w:val="000000"/>
                <w:sz w:val="24"/>
                <w:szCs w:val="24"/>
              </w:rPr>
              <w:t>从事中学地理教学以及相关领域工作。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地理学科教育硕士招生十几年来，已经培养了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九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十多名在职中学地理教师，这些中学教师在中学地理教学和管理工作中发挥了重要作用，受到较好的评价。教育科研方面，毕业生有硕士论文获得过全国优秀教育硕士学位论文，有毕业生主持过省级课题并获奖，有获得过“全国中学地理教学论文评选”的一、二等奖；在教学方面，毕业生多人次在省、市中青年地理教师教学大奖赛中获一等奖，参加过省、市地理学科高考命题工作。</w:t>
            </w:r>
          </w:p>
          <w:p>
            <w:pPr>
              <w:spacing w:line="360" w:lineRule="auto"/>
              <w:ind w:firstLine="601" w:firstLineChars="250"/>
              <w:rPr>
                <w:rFonts w:hint="default" w:ascii="宋体" w:hAnsi="宋体" w:cs="宋体"/>
                <w:b/>
                <w:bCs/>
                <w:color w:val="000000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val="en-US" w:eastAsia="zh-Hans"/>
              </w:rPr>
              <w:t>五</w:t>
            </w:r>
            <w:r>
              <w:rPr>
                <w:rFonts w:hint="default" w:ascii="宋体" w:hAnsi="宋体" w:cs="宋体"/>
                <w:b/>
                <w:bCs/>
                <w:color w:val="000000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val="en-US" w:eastAsia="zh-Hans"/>
              </w:rPr>
              <w:t>导师简介</w:t>
            </w:r>
          </w:p>
          <w:p>
            <w:pPr>
              <w:spacing w:line="360" w:lineRule="auto"/>
              <w:ind w:firstLine="600" w:firstLineChars="250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Hans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柳云龙: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上海师范大学环境与地理科学学院副教授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农业遥感与地理信息系统方向理学博士、环境科学博士后、硕士生导师（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课程与教学论、学科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教学（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地理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和自然地理学）。地理学系系主任、地理科学专业负责人、学科教学（地理）学位点负责人。主要研究方向：地理科学、土壤环境、环境与生态文明教育、研学课程设计。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公开发表论文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0余篇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出版教材和专著各1部，软件著作权2项，获得浙江省科学技术三等奖、浙江省环境保护科学技术奖三等奖、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上海市教学成果二等奖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上海师范大学教学成果二等奖等。</w:t>
            </w:r>
          </w:p>
          <w:p>
            <w:pPr>
              <w:spacing w:line="360" w:lineRule="auto"/>
              <w:ind w:firstLine="600" w:firstLineChars="250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Hans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刘兰：上海师范大学环境与地理科学学院副教授，教育学博士，专业方向为地理教学论，硕士生导师。公开发表论文50余篇，主编参编高校教材和教学参考书10余部，教育部审上海版高中地理教材、地图册核心作者，上海版初中地理教材核心作者，高中地理练习册核心作者，初中地理练习册分册主编。曾获上海市教学成果二、三等奖，校优秀教师、师德标兵，优秀教学奖、行知特别贡献奖等。</w:t>
            </w:r>
          </w:p>
          <w:p>
            <w:pPr>
              <w:spacing w:line="360" w:lineRule="auto"/>
              <w:ind w:firstLine="600" w:firstLineChars="250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Hans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芮建勋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上海师范大学环境与地理科学学院副教授，硕士生导师（课程与教学论学硕、学科地理方向专硕），地图学与地理信息系统专业理学博士，教育信息技术专业博士后。研究方向：信息技术与地理教学，包括地理大数据处理、地理数据可视化、教育数字化、人工智能与教学等。</w:t>
            </w:r>
          </w:p>
          <w:p>
            <w:pPr>
              <w:spacing w:line="360" w:lineRule="auto"/>
              <w:ind w:firstLine="600" w:firstLineChars="250"/>
              <w:rPr>
                <w:rFonts w:hint="default"/>
                <w:sz w:val="24"/>
                <w:szCs w:val="24"/>
                <w:lang w:eastAsia="zh-Hans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Hans"/>
              </w:rPr>
              <w:t>.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缪圣：上海师范大学环境与地理科学学院讲师，教育学博士，专业为地理课程与教学论，研究方向为生态环境与可持续发展教育评价。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2023年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指导学生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上海市师范生技能大赛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长三角师范生技能大赛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中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获奖。</w:t>
            </w:r>
          </w:p>
        </w:tc>
      </w:tr>
    </w:tbl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C08"/>
    <w:rsid w:val="00441EBE"/>
    <w:rsid w:val="00627E08"/>
    <w:rsid w:val="00767B8C"/>
    <w:rsid w:val="00843E43"/>
    <w:rsid w:val="00952678"/>
    <w:rsid w:val="00A12ED7"/>
    <w:rsid w:val="00AB393B"/>
    <w:rsid w:val="00B305E4"/>
    <w:rsid w:val="00C83C08"/>
    <w:rsid w:val="00E1168C"/>
    <w:rsid w:val="00E14288"/>
    <w:rsid w:val="00E47431"/>
    <w:rsid w:val="0F7A2477"/>
    <w:rsid w:val="255FAF71"/>
    <w:rsid w:val="74DB78BA"/>
    <w:rsid w:val="7BFF27A6"/>
    <w:rsid w:val="EB53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1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semiHidden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批注主题 字符"/>
    <w:basedOn w:val="10"/>
    <w:link w:val="6"/>
    <w:semiHidden/>
    <w:qFormat/>
    <w:uiPriority w:val="99"/>
    <w:rPr>
      <w:rFonts w:ascii="Times New Roman" w:hAnsi="Times New Roman" w:eastAsia="宋体" w:cs="Times New Roman"/>
      <w:b/>
      <w:bCs/>
    </w:rPr>
  </w:style>
  <w:style w:type="character" w:customStyle="1" w:styleId="12">
    <w:name w:val="批注框文本 字符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字符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字符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161</Words>
  <Characters>922</Characters>
  <Lines>7</Lines>
  <Paragraphs>2</Paragraphs>
  <TotalTime>1</TotalTime>
  <ScaleCrop>false</ScaleCrop>
  <LinksUpToDate>false</LinksUpToDate>
  <CharactersWithSpaces>1081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2023-07-29T16:06:00Z</dcterms:created>
  <dc:creator>lly</dc:creator>
  <cp:lastModifiedBy>包子君。</cp:lastModifiedBy>
  <dcterms:modified xsi:type="dcterms:W3CDTF">2024-09-14T11:17:22Z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157FBEA2B09DB545BF478E664D7BBF4D_43</vt:lpwstr>
  </property>
</Properties>
</file>