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61"/>
        <w:gridCol w:w="4261"/>
      </w:tblGrid>
      <w:tr w14:paraId="4E16B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8A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5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会计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（全日制）</w:t>
            </w:r>
          </w:p>
        </w:tc>
      </w:tr>
      <w:tr w14:paraId="72CB5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D2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80" w:right="0" w:hanging="1680"/>
              <w:rPr>
                <w:rFonts w:hint="default" w:ascii="宋体" w:hAnsi="宋体"/>
              </w:rPr>
            </w:pPr>
            <w:r>
              <w:rPr>
                <w:rFonts w:hint="eastAsia"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57F27E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80" w:right="0" w:hanging="1680"/>
              <w:rPr>
                <w:rFonts w:hint="default" w:ascii="宋体" w:hAnsi="宋体"/>
              </w:rPr>
            </w:pPr>
          </w:p>
          <w:p w14:paraId="54B9F5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1680" w:right="0" w:hanging="1680"/>
              <w:rPr>
                <w:rFonts w:hint="default" w:ascii="宋体" w:hAnsi="宋体"/>
                <w:b/>
                <w:caps/>
              </w:rPr>
            </w:pPr>
            <w:r>
              <w:rPr>
                <w:rFonts w:hint="eastAsia" w:ascii="宋体" w:hAnsi="宋体"/>
                <w:b/>
                <w:caps/>
              </w:rPr>
              <w:t>（一）培养目标</w:t>
            </w:r>
          </w:p>
          <w:p w14:paraId="3D09BA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上海师范大学会计硕士专业学位(简称MPAcc,学科代码125300）旨在培养具备良好的职业道德和专业素养，具有较强的创新意识和团队合作精神，能够胜任工商企业、金融机构和行政事业单位的财务、会计与审计工作；系统掌握现代会计学、财务管理、审计学以及管理会计相关领域的知识和技能，具有适应当代商业环境的学习能力和战略意识，善于运用大数据分析和智能化管理技术，具备发现和解决会计实际问题的能力和統领会计工作的领导潜质，塑造具有国际视野的财务总监（总会计师）、注册会计师和注册管理会计师。</w:t>
            </w:r>
          </w:p>
          <w:p w14:paraId="2DE1945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  <w:caps/>
              </w:rPr>
            </w:pPr>
            <w:r>
              <w:rPr>
                <w:rFonts w:hint="eastAsia" w:ascii="宋体" w:hAnsi="宋体"/>
                <w:b/>
                <w:caps/>
              </w:rPr>
              <w:t>研究方向</w:t>
            </w:r>
          </w:p>
          <w:p w14:paraId="7BB5333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/>
                <w:b/>
                <w:caps/>
                <w:lang w:val="en-US" w:eastAsia="zh-CN"/>
              </w:rPr>
            </w:pPr>
            <w:r>
              <w:rPr>
                <w:rFonts w:hint="eastAsia" w:ascii="宋体" w:hAnsi="宋体"/>
                <w:b/>
                <w:caps/>
                <w:lang w:val="en-US" w:eastAsia="zh-CN"/>
              </w:rPr>
              <w:t xml:space="preserve">    会计专硕全日制培养分为三个方向，即</w:t>
            </w:r>
            <w:r>
              <w:rPr>
                <w:rFonts w:hint="eastAsia" w:ascii="宋体" w:hAnsi="宋体"/>
                <w:b w:val="0"/>
                <w:bCs/>
                <w:caps/>
                <w:lang w:val="en-US" w:eastAsia="zh-CN"/>
              </w:rPr>
              <w:t>会计与资本市场、财务管理与数智化发展、管理会计与可持续发展。</w:t>
            </w:r>
          </w:p>
          <w:p w14:paraId="6FF4807E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caps/>
              </w:rPr>
              <w:t>培养</w:t>
            </w:r>
            <w:r>
              <w:rPr>
                <w:rFonts w:hint="eastAsia" w:ascii="宋体" w:hAnsi="宋体"/>
                <w:b/>
              </w:rPr>
              <w:t>特色</w:t>
            </w:r>
          </w:p>
          <w:p w14:paraId="3B2650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aps/>
                <w:lang w:val="en-US" w:eastAsia="zh-CN"/>
              </w:rPr>
              <w:t>以立足并服务于长三角区域一体化国家战略，聚焦大健康和互联网企业高质量发展，注重数字经济时代会计与财务管理实践为培养特色。在“政企校学研用”相结合的六边形培养模式下，践行培养具有家国情怀、善于掌握会计发展新思维和新技能的德才兼备应用型高级会计人才。具体展开体现为3点：</w:t>
            </w:r>
          </w:p>
          <w:p w14:paraId="08E2CA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聚焦案例教学开发与课堂应用。本学位点核心课程都采用案例教学，聚焦学生实践能力培养。2020年以来，会计专硕项目师生合作共同开发自建案例50个，出版案例教材《财务与金融案例教程》1部。2024年5月以来，黄虹团队和黄静团队2篇教学案例入全国MPAcc案例库，孙红梅团队1篇案例入中国管理中心案例库。</w:t>
            </w:r>
          </w:p>
          <w:p w14:paraId="06240E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2.“政企校学研用”六边形合作新模式。学位点与上海市财政局会计领军班定期开展互动，引入10余名会计领军人才加入业界导师队伍；成立大健康与数智财务研究中心，10</w:t>
            </w:r>
            <w:r>
              <w:rPr>
                <w:rFonts w:hint="eastAsia" w:ascii="宋体" w:hAnsi="宋体"/>
                <w:lang w:val="en-US" w:eastAsia="zh-CN"/>
              </w:rPr>
              <w:t>余</w:t>
            </w:r>
            <w:r>
              <w:rPr>
                <w:rFonts w:hint="eastAsia" w:ascii="宋体" w:hAnsi="宋体"/>
              </w:rPr>
              <w:t>名上海市三甲医院总会计师和财务处长、医药企业董事长和财务总监成为中心特聘研究员；3篇校企联合开发的案例均在</w:t>
            </w:r>
            <w:r>
              <w:rPr>
                <w:rFonts w:hint="eastAsia" w:ascii="宋体" w:hAnsi="宋体"/>
                <w:lang w:val="en-US" w:eastAsia="zh-CN"/>
              </w:rPr>
              <w:t>21届</w:t>
            </w:r>
            <w:r>
              <w:rPr>
                <w:rFonts w:hint="eastAsia" w:ascii="宋体" w:hAnsi="宋体"/>
              </w:rPr>
              <w:t>长三角研究生案例大赛中获奖。</w:t>
            </w:r>
          </w:p>
          <w:p w14:paraId="33D4BA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.AI赋能会计专硕高质量发展。本学位点不仅培养学生扎实会计基础，更帮助学生理解前沿的大数据、云计算和AI等数字技术，将这些数字技术与会计专业融合，培养学生的创新应用能力。核心课程包括：机器学习与财务决策、财务共享与综合模拟（AI应用）、大数据与可视化分析、大数据与财务分析等。</w:t>
            </w:r>
          </w:p>
          <w:p w14:paraId="3CC4BB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（四）项目导师</w:t>
            </w:r>
          </w:p>
          <w:p w14:paraId="1FA503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项目坚持立德树人和全面发展理念，以“好导师”标准和“第一责任人”担当，建设导师团队。会计相关专业博士学位的人数为33人，占比94%，有担任独立董事和企业顾问等实践经历的人数为28人，占比80%，副高级以上职称占比82.86%。近3年引入名校会计学博士6名。配备30位中高级企事业单位管理者为行业导师。重视教师的校外专业培训，人均5次以上。多名导师获评“上海市育才奖、国家”五四“奖章、”五一“劳动奖、校“我的好导师”、还有东方英才、曙光学者、浦江人才等称号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</w:rPr>
              <w:t>以及中国会计学会管理会计专业委员会委员、中国会计学会高级会员、中国医药会计学会医药财务政策分会会员等学会兼职。</w:t>
            </w:r>
          </w:p>
          <w:p w14:paraId="744DED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（五）学术地位、研究成果与在研项目</w:t>
            </w:r>
          </w:p>
          <w:p w14:paraId="340F2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141" w:leftChars="67" w:right="0" w:firstLine="420" w:firstLineChars="200"/>
              <w:rPr>
                <w:rFonts w:hint="default" w:ascii="宋体" w:hAnsi="宋体"/>
              </w:rPr>
            </w:pPr>
            <w:r>
              <w:rPr>
                <w:rFonts w:hint="eastAsia" w:ascii="宋体" w:hAnsi="宋体"/>
              </w:rPr>
              <w:t>近五年来，本学位点共获得省部级及以上项目67个，总经费接近730万元，专任教师人均每年科研经费约4.17万元。在《会计研究》、《金融研究》、《审计研究》、《中国软科学》、《Tourism Management》、《China Agricultural Economic Review》、《Borsa Istanbul Review》等国内外权威期刊发表论文40余篇。</w:t>
            </w:r>
          </w:p>
          <w:p w14:paraId="3E939E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（六） 学分制与课程设置</w:t>
            </w:r>
          </w:p>
          <w:p w14:paraId="2DB5A9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141" w:leftChars="67" w:right="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课程体系包括学位公共课、学位基础课、学位专业课、选修课、实践课程。至少应修满4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学分，其中学位公共课5学分，学位基础课2学分，学位专业课14学分，选修课不低于14学分。实践课不低于</w:t>
            </w:r>
            <w:r>
              <w:rPr>
                <w:rFonts w:hint="eastAsia" w:ascii="宋体" w:hAnsi="宋体"/>
                <w:lang w:val="en-US" w:eastAsia="zh-CN"/>
              </w:rPr>
              <w:t>9</w:t>
            </w:r>
            <w:r>
              <w:rPr>
                <w:rFonts w:hint="eastAsia" w:ascii="宋体" w:hAnsi="宋体"/>
              </w:rPr>
              <w:t>学分（以当年培养方案为准）。</w:t>
            </w:r>
          </w:p>
          <w:p w14:paraId="30DEBD37"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 w:line="360" w:lineRule="auto"/>
              <w:ind w:right="0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</w:rPr>
              <w:t>就业去向</w:t>
            </w:r>
          </w:p>
          <w:p w14:paraId="6B9847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480"/>
              <w:jc w:val="both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/>
                <w:lang w:val="en-US" w:eastAsia="zh-CN"/>
              </w:rPr>
              <w:t>该项目毕业生的主要就业去向：（</w:t>
            </w:r>
            <w:r>
              <w:rPr>
                <w:rFonts w:hint="default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  <w:lang w:val="en-US" w:eastAsia="zh-CN"/>
              </w:rPr>
              <w:t>）公司财务部、投融资部、战略部等从事企业财务会计与管理会计及内部审计工作；（</w:t>
            </w:r>
            <w:r>
              <w:rPr>
                <w:rFonts w:hint="default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  <w:lang w:val="en-US" w:eastAsia="zh-CN"/>
              </w:rPr>
              <w:t>）会计事务所和财务咨询公司从事外部审计和会计管理咨询工作；（</w:t>
            </w:r>
            <w:r>
              <w:rPr>
                <w:rFonts w:hint="default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  <w:lang w:val="en-US" w:eastAsia="zh-CN"/>
              </w:rPr>
              <w:t>）银行、基金等金融机构从事金融会计及财务管理工作；（</w:t>
            </w:r>
            <w:r>
              <w:rPr>
                <w:rFonts w:hint="default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  <w:lang w:val="en-US" w:eastAsia="zh-CN"/>
              </w:rPr>
              <w:t>）政府、高校、医院等事业科研单位从事政府会计及预算管理工作等。</w:t>
            </w:r>
          </w:p>
          <w:p w14:paraId="44BAA45A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360" w:lineRule="auto"/>
              <w:ind w:right="0" w:rightChars="0"/>
              <w:rPr>
                <w:rFonts w:hint="default" w:ascii="宋体" w:hAnsi="宋体" w:eastAsia="宋体"/>
                <w:b/>
                <w:lang w:val="en-US" w:eastAsia="zh-CN"/>
              </w:rPr>
            </w:pPr>
          </w:p>
          <w:p w14:paraId="5CAF26DD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1155" w:right="0" w:firstLine="420"/>
              <w:rPr>
                <w:rFonts w:hint="default"/>
              </w:rPr>
            </w:pPr>
          </w:p>
          <w:p w14:paraId="414318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630" w:right="0"/>
              <w:rPr>
                <w:rFonts w:hint="default"/>
                <w:b/>
                <w:sz w:val="18"/>
                <w:szCs w:val="18"/>
              </w:rPr>
            </w:pPr>
            <w:r>
              <w:rPr>
                <w:rFonts w:hint="eastAsia" w:ascii="Cambria" w:hAnsi="Cambria"/>
                <w:b/>
                <w:caps/>
                <w:sz w:val="18"/>
                <w:szCs w:val="18"/>
              </w:rPr>
              <w:t>注：具体课程以本项目的教学计划为准。</w:t>
            </w:r>
          </w:p>
        </w:tc>
      </w:tr>
    </w:tbl>
    <w:p w14:paraId="4552D556">
      <w:pPr>
        <w:spacing w:line="20" w:lineRule="atLeast"/>
      </w:pPr>
      <w:r>
        <w:t> </w:t>
      </w:r>
    </w:p>
    <w:p w14:paraId="25E13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E3D87E"/>
    <w:multiLevelType w:val="singleLevel"/>
    <w:tmpl w:val="9FE3D87E"/>
    <w:lvl w:ilvl="0" w:tentative="0">
      <w:start w:val="3"/>
      <w:numFmt w:val="chineseCounting"/>
      <w:suff w:val="space"/>
      <w:lvlText w:val="（%1）"/>
      <w:lvlJc w:val="left"/>
      <w:rPr>
        <w:rFonts w:hint="eastAsia"/>
      </w:rPr>
    </w:lvl>
  </w:abstractNum>
  <w:abstractNum w:abstractNumId="1">
    <w:nsid w:val="A113C276"/>
    <w:multiLevelType w:val="singleLevel"/>
    <w:tmpl w:val="A113C276"/>
    <w:lvl w:ilvl="0" w:tentative="0">
      <w:start w:val="7"/>
      <w:numFmt w:val="chineseCounting"/>
      <w:suff w:val="space"/>
      <w:lvlText w:val="（%1）"/>
      <w:lvlJc w:val="left"/>
      <w:rPr>
        <w:rFonts w:hint="eastAsia"/>
      </w:rPr>
    </w:lvl>
  </w:abstractNum>
  <w:abstractNum w:abstractNumId="2">
    <w:nsid w:val="CBBCA2C1"/>
    <w:multiLevelType w:val="singleLevel"/>
    <w:tmpl w:val="CBBCA2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0MjewMDY1NTe1MDRV0lEKTi0uzszPAykwqwUA2xeiTiwAAAA="/>
    <w:docVar w:name="commondata" w:val="eyJoZGlkIjoiYjI0ZDE0YzdhY2JmYmI0MTVhNjg5ZDk4YjM4OGFlYjgifQ=="/>
  </w:docVars>
  <w:rsids>
    <w:rsidRoot w:val="009321D0"/>
    <w:rsid w:val="000278B3"/>
    <w:rsid w:val="000841C2"/>
    <w:rsid w:val="000D246D"/>
    <w:rsid w:val="000D2B00"/>
    <w:rsid w:val="000F788E"/>
    <w:rsid w:val="0010165F"/>
    <w:rsid w:val="001151E8"/>
    <w:rsid w:val="00161F0A"/>
    <w:rsid w:val="00166913"/>
    <w:rsid w:val="00192D2A"/>
    <w:rsid w:val="001B1622"/>
    <w:rsid w:val="001C592C"/>
    <w:rsid w:val="001E2294"/>
    <w:rsid w:val="0020015F"/>
    <w:rsid w:val="002614DC"/>
    <w:rsid w:val="00284BBD"/>
    <w:rsid w:val="002B7BE5"/>
    <w:rsid w:val="002F678E"/>
    <w:rsid w:val="00350C0B"/>
    <w:rsid w:val="00376117"/>
    <w:rsid w:val="00377824"/>
    <w:rsid w:val="00381B0B"/>
    <w:rsid w:val="003A095C"/>
    <w:rsid w:val="003A19D2"/>
    <w:rsid w:val="003A4D67"/>
    <w:rsid w:val="003B3689"/>
    <w:rsid w:val="003E2AE2"/>
    <w:rsid w:val="00455824"/>
    <w:rsid w:val="00477902"/>
    <w:rsid w:val="00486FAC"/>
    <w:rsid w:val="00487A53"/>
    <w:rsid w:val="00490788"/>
    <w:rsid w:val="004A02CA"/>
    <w:rsid w:val="004D2E05"/>
    <w:rsid w:val="00536BEC"/>
    <w:rsid w:val="00586B11"/>
    <w:rsid w:val="005B529E"/>
    <w:rsid w:val="00665D39"/>
    <w:rsid w:val="006F7B14"/>
    <w:rsid w:val="007056F3"/>
    <w:rsid w:val="0073183C"/>
    <w:rsid w:val="007461EB"/>
    <w:rsid w:val="007843C5"/>
    <w:rsid w:val="007A3402"/>
    <w:rsid w:val="00804D47"/>
    <w:rsid w:val="008457A7"/>
    <w:rsid w:val="00903620"/>
    <w:rsid w:val="0091226F"/>
    <w:rsid w:val="009321D0"/>
    <w:rsid w:val="00945385"/>
    <w:rsid w:val="0099242C"/>
    <w:rsid w:val="0099517E"/>
    <w:rsid w:val="009B08C1"/>
    <w:rsid w:val="009D7AC5"/>
    <w:rsid w:val="00A4014F"/>
    <w:rsid w:val="00A52494"/>
    <w:rsid w:val="00A93B47"/>
    <w:rsid w:val="00AE09D9"/>
    <w:rsid w:val="00AE2DF1"/>
    <w:rsid w:val="00AF4C6F"/>
    <w:rsid w:val="00B431EB"/>
    <w:rsid w:val="00B53D9D"/>
    <w:rsid w:val="00B679E5"/>
    <w:rsid w:val="00BB425F"/>
    <w:rsid w:val="00BB52DE"/>
    <w:rsid w:val="00BC6955"/>
    <w:rsid w:val="00BF23C8"/>
    <w:rsid w:val="00C0204F"/>
    <w:rsid w:val="00C02D41"/>
    <w:rsid w:val="00C05278"/>
    <w:rsid w:val="00C27343"/>
    <w:rsid w:val="00CF1750"/>
    <w:rsid w:val="00D30982"/>
    <w:rsid w:val="00D71496"/>
    <w:rsid w:val="00D80C52"/>
    <w:rsid w:val="00D863E6"/>
    <w:rsid w:val="00D90799"/>
    <w:rsid w:val="00D9578C"/>
    <w:rsid w:val="00DA392F"/>
    <w:rsid w:val="00DB20F6"/>
    <w:rsid w:val="00DC76BE"/>
    <w:rsid w:val="00DE4524"/>
    <w:rsid w:val="00E05A06"/>
    <w:rsid w:val="00E16529"/>
    <w:rsid w:val="00E22E69"/>
    <w:rsid w:val="00E62F8F"/>
    <w:rsid w:val="00E70BEB"/>
    <w:rsid w:val="00E84C78"/>
    <w:rsid w:val="00EA23B9"/>
    <w:rsid w:val="00EA712F"/>
    <w:rsid w:val="00EA7529"/>
    <w:rsid w:val="00EE3B62"/>
    <w:rsid w:val="00EE5FC9"/>
    <w:rsid w:val="00F05E56"/>
    <w:rsid w:val="00F06ABE"/>
    <w:rsid w:val="00F46E07"/>
    <w:rsid w:val="00F534D8"/>
    <w:rsid w:val="00F61FE3"/>
    <w:rsid w:val="00FB5A87"/>
    <w:rsid w:val="00FD1F05"/>
    <w:rsid w:val="0BCA2347"/>
    <w:rsid w:val="1B080EE5"/>
    <w:rsid w:val="1D542BE2"/>
    <w:rsid w:val="317C62EB"/>
    <w:rsid w:val="53D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1445</Words>
  <Characters>1556</Characters>
  <Lines>212</Lines>
  <Paragraphs>168</Paragraphs>
  <TotalTime>13</TotalTime>
  <ScaleCrop>false</ScaleCrop>
  <LinksUpToDate>false</LinksUpToDate>
  <CharactersWithSpaces>1568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2022-07-15T10:24:00Z</dcterms:created>
  <dc:creator>user</dc:creator>
  <cp:lastModifiedBy>hh2297</cp:lastModifiedBy>
  <dcterms:modified xsi:type="dcterms:W3CDTF">2024-07-05T03:53:35Z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f2e5805a5f98bb57b05cf81ca78b4b5a8edef59b124bda6bc327b543958ef797</vt:lpwstr>
  </property>
  <property fmtid="{D5CDD505-2E9C-101B-9397-08002B2CF9AE}" pid="3" name="KSOProductBuildVer">
    <vt:lpwstr>2052-12.1.0.17133</vt:lpwstr>
  </property>
  <property fmtid="{D5CDD505-2E9C-101B-9397-08002B2CF9AE}" pid="4" name="ICV">
    <vt:lpwstr>0E914CDECF1047E48E4056C477AF35BA_13</vt:lpwstr>
  </property>
</Properties>
</file>